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Commercial Vehicle Buying Industry Guide</w:t>
      </w:r>
    </w:p>
    <w:p>
      <w:r>
        <w:t>Commercial vehicles are production tools. The core logic of purchase selection is to match the operating scenario first, calculate total life-cycle cost, and avoid focusing only on a low bare-vehicle price. Registration, operating compliance, after-sales maintenance, and residual value should also be considered. This guide is suitable for individual drivers, logistics companies, and engineering-unit procurement.</w:t>
      </w:r>
    </w:p>
    <w:p>
      <w:pPr>
        <w:pStyle w:val="Heading1"/>
      </w:pPr>
      <w:r>
        <w:t>1. Step One: Clarify Your Operating Needs (the Foundation of Vehicle Selection)</w:t>
      </w:r>
    </w:p>
    <w:p>
      <w:pPr>
        <w:pStyle w:val="Heading2"/>
      </w:pPr>
      <w:r>
        <w:t>1.1 Business Scenario Positioning</w:t>
      </w:r>
    </w:p>
    <w:p>
      <w:r>
        <w:t>Transport distance:</w:t>
      </w:r>
    </w:p>
    <w:p>
      <w:pPr>
        <w:pStyle w:val="ListBullet"/>
      </w:pPr>
      <w:r>
        <w:t>Urban short-distance distribution, under 200 km: light trucks and vans; prioritize new energy for better access rights and lower energy consumption.</w:t>
      </w:r>
    </w:p>
    <w:p>
      <w:pPr>
        <w:pStyle w:val="ListBullet"/>
      </w:pPr>
      <w:r>
        <w:t>Medium and short intercity routes, 200-500 km: light trucks and medium trucks; diesel or hybrid.</w:t>
      </w:r>
    </w:p>
    <w:p>
      <w:pPr>
        <w:pStyle w:val="ListBullet"/>
      </w:pPr>
      <w:r>
        <w:t>Long-haul trunk routes, over 500 km: heavy-duty tractors and cargo trucks; diesel or LNG versions, with priority on reliability, fuel consumption, and cab comfort.</w:t>
      </w:r>
    </w:p>
    <w:p>
      <w:pPr>
        <w:pStyle w:val="ListBullet"/>
      </w:pPr>
      <w:r>
        <w:t>Construction sites: dump trucks and truck-mounted cranes, with strengthened chassis, suspension, and heavy-load capability.</w:t>
      </w:r>
    </w:p>
    <w:p>
      <w:r>
        <w:t>Cargo attributes: general cargo uses stake or box bodies; green-channel freight needs a large-volume body; cold chain requires a refrigerated-vehicle announcement chassis plus refrigeration unit; hazardous chemicals require a hazardous-chemical announcement chassis and a full set of qualifications; sanitation / special vehicles such as sewage suction and sprinklers require dedicated conversion chassis, and the chassis plus upper body must have complete matching announcements, otherwise registration is impossible.</w:t>
      </w:r>
    </w:p>
    <w:p>
      <w:r>
        <w:t>Payload, road conditions, and access restrictions: define the rated payload clearly and do not select a vehicle based on overload targets; choose high-torque power for mountain roads and slopes; control total vehicle height for underground garage access; confirm local truck restriction policies, as new-energy vehicles often have urban-access advantages.</w:t>
      </w:r>
    </w:p>
    <w:p>
      <w:pPr>
        <w:pStyle w:val="Heading2"/>
      </w:pPr>
      <w:r>
        <w:t>1.2 How to Choose Energy Type</w:t>
      </w:r>
    </w:p>
    <w:tbl>
      <w:tblPr>
        <w:tblStyle w:val="TableGrid"/>
        <w:tblW w:type="auto" w:w="0"/>
        <w:tblLook w:firstColumn="1" w:firstRow="1" w:lastColumn="0" w:lastRow="0" w:noHBand="0" w:noVBand="1" w:val="04A0"/>
      </w:tblPr>
      <w:tblGrid>
        <w:gridCol w:w="2880"/>
        <w:gridCol w:w="2880"/>
        <w:gridCol w:w="2880"/>
      </w:tblGrid>
      <w:tr>
        <w:tc>
          <w:tcPr>
            <w:tcW w:type="dxa" w:w="2880"/>
          </w:tcPr>
          <w:p>
            <w:r>
              <w:t>Energy Type</w:t>
            </w:r>
          </w:p>
        </w:tc>
        <w:tc>
          <w:tcPr>
            <w:tcW w:type="dxa" w:w="2880"/>
          </w:tcPr>
          <w:p>
            <w:r>
              <w:t>Applicable Scenarios</w:t>
            </w:r>
          </w:p>
        </w:tc>
        <w:tc>
          <w:tcPr>
            <w:tcW w:type="dxa" w:w="2880"/>
          </w:tcPr>
          <w:p>
            <w:r>
              <w:t>Core Concerns</w:t>
            </w:r>
          </w:p>
        </w:tc>
      </w:tr>
      <w:tr>
        <w:tc>
          <w:tcPr>
            <w:tcW w:type="dxa" w:w="2880"/>
          </w:tcPr>
          <w:p>
            <w:r>
              <w:t>China VI diesel</w:t>
            </w:r>
          </w:p>
        </w:tc>
        <w:tc>
          <w:tcPr>
            <w:tcW w:type="dxa" w:w="2880"/>
          </w:tcPr>
          <w:p>
            <w:r>
              <w:t>Long haul, heavy loads, no charging conditions</w:t>
            </w:r>
          </w:p>
        </w:tc>
        <w:tc>
          <w:tcPr>
            <w:tcW w:type="dxa" w:w="2880"/>
          </w:tcPr>
          <w:p>
            <w:r>
              <w:t>Engine, DPF aftertreatment maintenance, rear-axle ratio matching</w:t>
            </w:r>
          </w:p>
        </w:tc>
      </w:tr>
      <w:tr>
        <w:tc>
          <w:tcPr>
            <w:tcW w:type="dxa" w:w="2880"/>
          </w:tcPr>
          <w:p>
            <w:r>
              <w:t>LNG gas</w:t>
            </w:r>
          </w:p>
        </w:tc>
        <w:tc>
          <w:tcPr>
            <w:tcW w:type="dxa" w:w="2880"/>
          </w:tcPr>
          <w:p>
            <w:r>
              <w:t>Standard-load trunk routes and areas with low gas prices</w:t>
            </w:r>
          </w:p>
        </w:tc>
        <w:tc>
          <w:tcPr>
            <w:tcW w:type="dxa" w:w="2880"/>
          </w:tcPr>
          <w:p>
            <w:r>
              <w:t>Cylinder weight, gas-refueling network, maintenance parts</w:t>
            </w:r>
          </w:p>
        </w:tc>
      </w:tr>
      <w:tr>
        <w:tc>
          <w:tcPr>
            <w:tcW w:type="dxa" w:w="2880"/>
          </w:tcPr>
          <w:p>
            <w:r>
              <w:t>Pure electric</w:t>
            </w:r>
          </w:p>
        </w:tc>
        <w:tc>
          <w:tcPr>
            <w:tcW w:type="dxa" w:w="2880"/>
          </w:tcPr>
          <w:p>
            <w:r>
              <w:t>Urban short-distance delivery with convenient charging</w:t>
            </w:r>
          </w:p>
        </w:tc>
        <w:tc>
          <w:tcPr>
            <w:tcW w:type="dxa" w:w="2880"/>
          </w:tcPr>
          <w:p>
            <w:r>
              <w:t>Battery-motor-electric-control warranty, real-world range, charging conditions, battery degradation, service outlets</w:t>
            </w:r>
          </w:p>
        </w:tc>
      </w:tr>
      <w:tr>
        <w:tc>
          <w:tcPr>
            <w:tcW w:type="dxa" w:w="2880"/>
          </w:tcPr>
          <w:p>
            <w:r>
              <w:t>Hybrid</w:t>
            </w:r>
          </w:p>
        </w:tc>
        <w:tc>
          <w:tcPr>
            <w:tcW w:type="dxa" w:w="2880"/>
          </w:tcPr>
          <w:p>
            <w:r>
              <w:t>Intercity round trips with average charging conditions</w:t>
            </w:r>
          </w:p>
        </w:tc>
        <w:tc>
          <w:tcPr>
            <w:tcW w:type="dxa" w:w="2880"/>
          </w:tcPr>
          <w:p>
            <w:r>
              <w:t>Fuel consumption, battery warranty, complete vehicle announcement</w:t>
            </w:r>
          </w:p>
        </w:tc>
      </w:tr>
    </w:tbl>
    <w:p>
      <w:r>
        <w:t>Key point for China VI diesel vehicles: DPF regeneration and the urea system make later maintenance costs higher than China V vehicles, so do not ignore aftertreatment maintenance costs.</w:t>
      </w:r>
    </w:p>
    <w:p>
      <w:pPr>
        <w:pStyle w:val="Heading1"/>
      </w:pPr>
      <w:r>
        <w:t>2. Vehicle Classes and Mainstream Brand Reference</w:t>
      </w:r>
    </w:p>
    <w:p>
      <w:r>
        <w:t>1. Mini trucks: small urban cargo, RMB 30,000-60,000; Foton Xiangling, Wuling, Changan. 2. Light trucks, blue-plate / yellow-plate: urban and suburban logistics, RMB 80,000-160,000; Foton Aoling / Omark, JMC, JAC, FAW Jiefang Tiger VN, Sinotruk HOWO light trucks. 3. Medium trucks: medium and short-haul high-tonnage freight, RMB 160,000-250,000; Dongfeng Tianjin, FAW Jiefang J6L. 4. Heavy-duty tractors / cargo trucks: long-haul trunk routes, RMB 280,000-500,000; FAW Jiefang J7/J6, Dongfeng Tianlong, Sinotruk HOWO Sitrak, Shaanxi Auto Delong, Foton Auman. 5. Construction dump trucks: spoil, sand, and gravel at work sites; Sinotruk, Shaanxi Auto, XCMG, Dayun. 6. Special-purpose vehicles, such as sewage suction, refrigerated trucks, and truck-mounted cranes: prioritize chassis OEM-authorized conversion plants with complete announcements, and reject private conversions without upper-body announcements.</w:t>
      </w:r>
    </w:p>
    <w:p>
      <w:r>
        <w:t>Key point for special-vehicle procurement: the chassis announcement and upper-body announcement must match; otherwise registration and annual inspection cannot be completed.</w:t>
      </w:r>
    </w:p>
    <w:p>
      <w:pPr>
        <w:pStyle w:val="Heading1"/>
      </w:pPr>
      <w:r>
        <w:t>3. Core Hardware Configuration Selection Points</w:t>
      </w:r>
    </w:p>
    <w:p>
      <w:r>
        <w:t>1. Engine: prioritize engines with large market population and widely available parts; check horsepower and torque; reserve extra power for heavy-load mountain routes rather than choosing something barely adequate; pay attention to engine warranty years and mileage. 2. Gearbox: AMT automatic transmissions are increasingly common for standard-load long-haul routes; choose manual transmission for complex sites and heavy loads; confirm gearbox warranty separately. 3. Rear axle and ratio: choose a small ratio for standard-load highway fuel economy; choose a large ratio for heavy-load mountain climbing; mismatching ratio and operating conditions will cause fuel consumption to surge. 4. Chassis frame and suspension: for frequent heavy loads, prioritize thickened frames and leaf springs; lightweight designs suit standard-load green-channel freight, but do not blindly sacrifice carrying capacity for light weight. 5. Upper body: for boxes, stake bodies, and tanks, prioritize OEM or authorized conversion plants; write the brand and model of special equipment such as refrigeration units and sewage-suction pumps into the contract. 6. Warranty: for fuel vehicles, focus on engine and gearbox; for new-energy vehicles, confirm in writing the warranty years and mileage for battery, motor, and electric control, and whether battery degradation is covered. Verbal promises are invalid.</w:t>
      </w:r>
    </w:p>
    <w:p>
      <w:pPr>
        <w:pStyle w:val="Heading1"/>
      </w:pPr>
      <w:r>
        <w:t>4. Complete New-Vehicle Procurement Process</w:t>
      </w:r>
    </w:p>
    <w:p>
      <w:r>
        <w:t>1. Budget calculation: do not only calculate the bare-vehicle price. Full cost = bare vehicle + purchase tax + insurance, including operating insurance + registration + upper-body conversion + loan interest + annual fuel/electricity, maintenance, annual inspection, and depreciation. 2. Channel selection: prioritize manufacturer first-level authorized dealers with complete procedures and guaranteed after-sales service; be cautious with second-level cross-region vehicle transfers, which may look cheaper but provide weak later rights protection and parts support.</w:t>
      </w:r>
    </w:p>
    <w:p>
      <w:r>
        <w:t>Beware of traps: "zero down payment + guaranteed freight source" is usually a marketing trap. Do not believe that buying a truck guarantees stable freight sources.</w:t>
      </w:r>
    </w:p>
    <w:p>
      <w:r>
        <w:t>3. Negotiation and contract signing, the most important step: write the chassis model, engine model, gearbox, rear-axle ratio, tires, upper-body brand and model, announcement version, delivery time, deposit and final-payment milestones into the contract. State the warranty scope and penalty for late delivery; reject vague wording such as "equivalent to OEM"; remove unreasonable charges such as yard-out fees and PDI inspection fees. For custom special-purpose vehicles, production scheduling is longer; reserve 4-8 weeks and define liability for delays.</w:t>
      </w:r>
    </w:p>
    <w:p>
      <w:r>
        <w:t>4. Vehicle inspection and delivery checklist: 1) verify the vehicle nameplate and production date, and avoid vehicles stored too long; 2) verify the certificate of conformity, consistency certificate, environmental list, and warranty manual, ensuring documents match the actual vehicle exactly; 3) inspect exterior, chassis, tires, fluids, and lights, and test upper-body functions for special vehicles; 4) check on-board tools and spare parts; 5) registration can proceed only after all documents are complete.</w:t>
      </w:r>
    </w:p>
    <w:p>
      <w:r>
        <w:t>5. Registration and operating qualifications: for individual owners, some cities restrict individual registration of yellow-plate trucks; for company owners, the purchase invoice can be issued to the company for depreciation and tax deduction; operating vehicles must obtain a road transport permit after registration, and drivers must hold the corresponding qualification certificate. For special vehicles, verify the announcement in advance; actual vehicle parameters must match the announcement, otherwise the vehicle administration office will not register it.</w:t>
      </w:r>
    </w:p>
    <w:p>
      <w:pPr>
        <w:pStyle w:val="Heading1"/>
      </w:pPr>
      <w:r>
        <w:t>5. Key Points for Financing Options</w:t>
      </w:r>
    </w:p>
    <w:p>
      <w:r>
        <w:t>1. Prioritize manufacturer finance and bank commercial-vehicle loans, and compare real annualized interest rates instead of only monthly payments. 2. Reject high service fees and forced bundling of expensive in-store insurance; review the repayment plan and confirm whether there is an early-repayment penalty. 3. Down payment suggestion: reserve working capital rather than putting all cash into the down payment, to avoid a lack of cash flow for later repairs and refueling. 4. Lease-purchase and rent-to-own: clarify ownership, transfer conditions at maturity, and breach penalties, and guard against dual-contract risks.</w:t>
      </w:r>
    </w:p>
    <w:p>
      <w:pPr>
        <w:pStyle w:val="Heading1"/>
      </w:pPr>
      <w:r>
        <w:t>6. Used Commercial Vehicle Procurement Guide</w:t>
      </w:r>
    </w:p>
    <w:p>
      <w:r>
        <w:t>1. First confirm vehicle nature: operating or non-operating; operating vehicles have heavier wear and stricter scrappage limits. 2. Inspection: check whether chassis beams are deformed or cracked, whether the engine leaks oil, gearbox condition, odometer tampering, accidents, and flood history; ideally hire a commercial-vehicle mechanic for inspection. 3. Procedures: release any mortgage, confirm no violations, and ensure annual inspection is valid; confirm registration certificate and driving license, and confirm transfer is possible. 4. Put all vehicle-condition promises into the contract, including refund or compensation clauses for major accidents, flooding, or odometer rollback.</w:t>
      </w:r>
    </w:p>
    <w:p>
      <w:pPr>
        <w:pStyle w:val="Heading1"/>
      </w:pPr>
      <w:r>
        <w:t>7. Cost Calculation Logic (Full Life Cycle)</w:t>
      </w:r>
    </w:p>
    <w:p>
      <w:r>
        <w:t>Whether a commercial vehicle makes money depends on full-cycle TCO, not the purchase price: 1) fixed investment: vehicle purchase, purchase tax, registration, and conversion; 2) variable operating costs: fuel/electricity, urea, tire replacement, maintenance, insurance, and annual inspection; 3) hidden costs: downtime losses caused by faults; 4) residual value: used-vehicle retention after 3-5 years, with mainstream major brands usually retaining value better.</w:t>
      </w:r>
    </w:p>
    <w:p>
      <w:pPr>
        <w:pStyle w:val="Heading1"/>
      </w:pPr>
      <w:r>
        <w:t>8. High-Frequency Pitfall Checklist</w:t>
      </w:r>
    </w:p>
    <w:p>
      <w:r>
        <w:t>1. Do not blindly chase high horsepower; mismatched operating conditions only increase fuel consumption. 2. For special vehicles, reject private conversions without announcements, as later registration, annual inspection, and insurance claims will all have problems. 3. Do not trust verbal promises; freight sources, warranty, and conversion configuration must all be written into the contract. 4. For China VI diesel vehicles, do not ignore DPF aftertreatment repair costs. 5. For new-energy commercial vehicles, prioritize local service network density rather than only range figures. 6. For cross-region vehicle transfers, clarify after-sales responsibility; many second-level outlets only sell vehicles and do not handle service. 7. For loan purchases, review all charges clearly, distinguish principal, interest, and service fees, and reject vague bundled charges.</w:t>
      </w:r>
    </w:p>
    <w:p>
      <w:pPr>
        <w:pStyle w:val="Heading1"/>
      </w:pPr>
      <w:r>
        <w:t>9. Additional Suggestions for Enterprise Batch Procurement</w:t>
      </w:r>
    </w:p>
    <w:p>
      <w:r>
        <w:t>1. Compare multiple brands and require dealers to provide a complete TCO calculation report. 2. Negotiate maintenance agreements, parts discounts, and on-site service for batch purchases. 3. Define fault response time and backup-vehicle support in the contract. 4. For special-vehicle projects, require joint warranty from the chassis factory and conversion plant, and clarify responsibility boundaries for chassis faults and upper-body faults.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rPr>
  </w:style>
  <w:style w:type="paragraph" w:styleId="BodyText">
    <w:name w:val="Body Text"/>
    <w:basedOn w:val="Normal"/>
    <w:link w:val="BodyTextChar"/>
    <w:uiPriority w:val="99"/>
    <w:unhideWhenUsed/>
    <w:rsid w:val="00AA1D8D"/>
    <w:pPr>
      <w:spacing w:after="120"/>
    </w:pPr>
    <w:rPr>
      <w:rFonts w:ascii="Arial" w:hAnsi="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rPr>
  </w:style>
  <w:style w:type="paragraph" w:styleId="List2">
    <w:name w:val="List 2"/>
    <w:basedOn w:val="Normal"/>
    <w:uiPriority w:val="99"/>
    <w:unhideWhenUsed/>
    <w:rsid w:val="00326F90"/>
    <w:pPr>
      <w:ind w:left="720" w:hanging="360"/>
      <w:contextualSpacing/>
    </w:pPr>
    <w:rPr>
      <w:rFonts w:ascii="Arial" w:hAnsi="Arial"/>
    </w:rPr>
  </w:style>
  <w:style w:type="paragraph" w:styleId="List3">
    <w:name w:val="List 3"/>
    <w:basedOn w:val="Normal"/>
    <w:uiPriority w:val="99"/>
    <w:unhideWhenUsed/>
    <w:rsid w:val="00326F90"/>
    <w:pPr>
      <w:ind w:left="1080" w:hanging="360"/>
      <w:contextualSpacing/>
    </w:pPr>
    <w:rPr>
      <w:rFonts w:ascii="Arial" w:hAnsi="Arial"/>
    </w:r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rPr>
      <w:rFonts w:ascii="Arial" w:hAnsi="Arial"/>
    </w:rPr>
  </w:style>
  <w:style w:type="paragraph" w:styleId="ListBullet3">
    <w:name w:val="List Bullet 3"/>
    <w:basedOn w:val="Normal"/>
    <w:uiPriority w:val="99"/>
    <w:unhideWhenUsed/>
    <w:rsid w:val="00326F90"/>
    <w:pPr>
      <w:numPr>
        <w:numId w:val="3"/>
      </w:numPr>
      <w:contextualSpacing/>
    </w:pPr>
    <w:rPr>
      <w:rFonts w:ascii="Arial" w:hAnsi="Arial"/>
    </w:r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rPr>
      <w:rFonts w:ascii="Arial" w:hAnsi="Arial"/>
    </w:rPr>
  </w:style>
  <w:style w:type="paragraph" w:styleId="ListNumber3">
    <w:name w:val="List Number 3"/>
    <w:basedOn w:val="Normal"/>
    <w:uiPriority w:val="99"/>
    <w:unhideWhenUsed/>
    <w:rsid w:val="0029639D"/>
    <w:pPr>
      <w:numPr>
        <w:numId w:val="7"/>
      </w:numPr>
      <w:contextualSpacing/>
    </w:pPr>
    <w:rPr>
      <w:rFonts w:ascii="Arial" w:hAnsi="Arial"/>
    </w:rPr>
  </w:style>
  <w:style w:type="paragraph" w:styleId="ListContinue">
    <w:name w:val="List Continue"/>
    <w:basedOn w:val="Normal"/>
    <w:uiPriority w:val="99"/>
    <w:unhideWhenUsed/>
    <w:rsid w:val="0029639D"/>
    <w:pPr>
      <w:spacing w:after="120"/>
      <w:ind w:left="360"/>
      <w:contextualSpacing/>
    </w:pPr>
    <w:rPr>
      <w:rFonts w:ascii="Arial" w:hAnsi="Arial"/>
    </w:rPr>
  </w:style>
  <w:style w:type="paragraph" w:styleId="ListContinue2">
    <w:name w:val="List Continue 2"/>
    <w:basedOn w:val="Normal"/>
    <w:uiPriority w:val="99"/>
    <w:unhideWhenUsed/>
    <w:rsid w:val="0029639D"/>
    <w:pPr>
      <w:spacing w:after="120"/>
      <w:ind w:left="720"/>
      <w:contextualSpacing/>
    </w:pPr>
    <w:rPr>
      <w:rFonts w:ascii="Arial" w:hAnsi="Arial"/>
    </w:rPr>
  </w:style>
  <w:style w:type="paragraph" w:styleId="ListContinue3">
    <w:name w:val="List Continue 3"/>
    <w:basedOn w:val="Normal"/>
    <w:uiPriority w:val="99"/>
    <w:unhideWhenUsed/>
    <w:rsid w:val="0029639D"/>
    <w:pPr>
      <w:spacing w:after="120"/>
      <w:ind w:left="1080"/>
      <w:contextualSpacing/>
    </w:pPr>
    <w:rPr>
      <w:rFonts w:ascii="Arial" w:hAnsi="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